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DCD91" w14:textId="57A592C5" w:rsidR="001F0267" w:rsidRDefault="001F0267" w:rsidP="001F0267">
      <w:pPr>
        <w:spacing w:line="240" w:lineRule="auto"/>
        <w:jc w:val="center"/>
        <w:rPr>
          <w:rFonts w:ascii="Gentium Plus" w:hAnsi="Gentium Plus" w:cs="Gentium Plus"/>
          <w:b/>
          <w:bCs/>
          <w:u w:val="single"/>
        </w:rPr>
      </w:pPr>
      <w:bookmarkStart w:id="0" w:name="_GoBack"/>
      <w:bookmarkEnd w:id="0"/>
      <w:r>
        <w:rPr>
          <w:rFonts w:ascii="Gentium Plus" w:hAnsi="Gentium Plus" w:cs="Gentium Plus"/>
          <w:b/>
          <w:bCs/>
          <w:u w:val="single"/>
        </w:rPr>
        <w:t>“Warning: Storm Approaching”</w:t>
      </w:r>
    </w:p>
    <w:p w14:paraId="05FC73E6" w14:textId="341170AA" w:rsidR="001F0267" w:rsidRDefault="001F0267" w:rsidP="001F0267">
      <w:pPr>
        <w:spacing w:line="240" w:lineRule="auto"/>
        <w:jc w:val="center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Weather, the Environment, and Natural Disasters in the Ancient Mediterranean</w:t>
      </w:r>
    </w:p>
    <w:p w14:paraId="00063920" w14:textId="1C180C46" w:rsidR="001F0267" w:rsidRDefault="001F0267" w:rsidP="001F0267">
      <w:pPr>
        <w:spacing w:line="240" w:lineRule="auto"/>
        <w:jc w:val="center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(All papers </w:t>
      </w:r>
      <w:r w:rsidR="006C2181">
        <w:rPr>
          <w:rFonts w:ascii="Gentium Plus" w:hAnsi="Gentium Plus" w:cs="Gentium Plus"/>
        </w:rPr>
        <w:t>given</w:t>
      </w:r>
      <w:r>
        <w:rPr>
          <w:rFonts w:ascii="Gentium Plus" w:hAnsi="Gentium Plus" w:cs="Gentium Plus"/>
        </w:rPr>
        <w:t xml:space="preserve"> </w:t>
      </w:r>
      <w:r w:rsidR="006C2181">
        <w:rPr>
          <w:rFonts w:ascii="Gentium Plus" w:hAnsi="Gentium Plus" w:cs="Gentium Plus"/>
        </w:rPr>
        <w:t>via</w:t>
      </w:r>
      <w:r>
        <w:rPr>
          <w:rFonts w:ascii="Gentium Plus" w:hAnsi="Gentium Plus" w:cs="Gentium Plus"/>
        </w:rPr>
        <w:t xml:space="preserve"> Zoom. ID: 266-211-573</w:t>
      </w:r>
      <w:r w:rsidR="00540722">
        <w:rPr>
          <w:rFonts w:ascii="Gentium Plus" w:hAnsi="Gentium Plus" w:cs="Gentium Plus"/>
        </w:rPr>
        <w:t xml:space="preserve">. </w:t>
      </w:r>
      <w:r w:rsidR="00C94DA5">
        <w:rPr>
          <w:rFonts w:ascii="Gentium Plus" w:hAnsi="Gentium Plus" w:cs="Gentium Plus"/>
        </w:rPr>
        <w:t xml:space="preserve">Access guide at </w:t>
      </w:r>
      <w:hyperlink r:id="rId4" w:history="1">
        <w:r w:rsidR="00C94DA5" w:rsidRPr="00C12B45">
          <w:rPr>
            <w:rStyle w:val="Hyperlink"/>
            <w:rFonts w:ascii="Gentium Plus" w:hAnsi="Gentium Plus" w:cs="Gentium Plus"/>
          </w:rPr>
          <w:t>http://classics.as.virginia.edu/access-guide</w:t>
        </w:r>
      </w:hyperlink>
      <w:r w:rsidR="00C94DA5">
        <w:rPr>
          <w:rFonts w:ascii="Gentium Plus" w:hAnsi="Gentium Plus" w:cs="Gentium Plus"/>
        </w:rPr>
        <w:t xml:space="preserve"> )</w:t>
      </w:r>
    </w:p>
    <w:p w14:paraId="76CD4080" w14:textId="3B30536E" w:rsidR="00C94DA5" w:rsidRDefault="00C94DA5" w:rsidP="00C94DA5">
      <w:pPr>
        <w:spacing w:line="240" w:lineRule="auto"/>
        <w:rPr>
          <w:rFonts w:ascii="Gentium Plus" w:hAnsi="Gentium Plus" w:cs="Gentium Plus"/>
        </w:rPr>
      </w:pPr>
    </w:p>
    <w:p w14:paraId="47FD7036" w14:textId="5DCD388C" w:rsidR="00C94DA5" w:rsidRDefault="00C94DA5" w:rsidP="00C94DA5">
      <w:pPr>
        <w:spacing w:line="240" w:lineRule="auto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10:30-11:30 Session 1</w:t>
      </w:r>
    </w:p>
    <w:p w14:paraId="24FF2ECC" w14:textId="44BF8B36" w:rsidR="00C94DA5" w:rsidRDefault="00C94DA5" w:rsidP="00C94DA5">
      <w:pPr>
        <w:spacing w:line="240" w:lineRule="auto"/>
        <w:rPr>
          <w:rFonts w:ascii="Gentium Plus" w:hAnsi="Gentium Plus" w:cs="Gentium Plus"/>
        </w:rPr>
      </w:pPr>
      <w:r>
        <w:rPr>
          <w:rFonts w:ascii="Gentium Plus" w:hAnsi="Gentium Plus" w:cs="Gentium Plus"/>
          <w:b/>
          <w:bCs/>
        </w:rPr>
        <w:tab/>
      </w:r>
      <w:r>
        <w:rPr>
          <w:rFonts w:ascii="Gentium Plus" w:hAnsi="Gentium Plus" w:cs="Gentium Plus"/>
        </w:rPr>
        <w:t>“Human Races and Human Places in Aristotle and Albertus Magnus”</w:t>
      </w:r>
    </w:p>
    <w:p w14:paraId="034C7555" w14:textId="2534BBFD" w:rsidR="00C94DA5" w:rsidRDefault="00C94DA5" w:rsidP="00C94DA5">
      <w:pPr>
        <w:spacing w:line="240" w:lineRule="auto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</w:r>
      <w:r>
        <w:rPr>
          <w:rFonts w:ascii="Gentium Plus" w:hAnsi="Gentium Plus" w:cs="Gentium Plus"/>
        </w:rPr>
        <w:tab/>
        <w:t xml:space="preserve">Kyle </w:t>
      </w:r>
      <w:proofErr w:type="spellStart"/>
      <w:r>
        <w:rPr>
          <w:rFonts w:ascii="Gentium Plus" w:hAnsi="Gentium Plus" w:cs="Gentium Plus"/>
        </w:rPr>
        <w:t>Oskvig</w:t>
      </w:r>
      <w:proofErr w:type="spellEnd"/>
      <w:r>
        <w:rPr>
          <w:rFonts w:ascii="Gentium Plus" w:hAnsi="Gentium Plus" w:cs="Gentium Plus"/>
        </w:rPr>
        <w:t>, Princeton University</w:t>
      </w:r>
    </w:p>
    <w:p w14:paraId="731C8E68" w14:textId="29902026" w:rsidR="00C94DA5" w:rsidRDefault="00C94DA5" w:rsidP="00C94DA5">
      <w:pPr>
        <w:spacing w:line="240" w:lineRule="auto"/>
        <w:rPr>
          <w:rFonts w:ascii="Gentium Plus" w:hAnsi="Gentium Plus" w:cs="Gentium Plus"/>
        </w:rPr>
      </w:pPr>
    </w:p>
    <w:p w14:paraId="192E08BB" w14:textId="3455B928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  <w:t>“</w:t>
      </w:r>
      <w:proofErr w:type="spellStart"/>
      <w:r>
        <w:rPr>
          <w:rFonts w:ascii="Gentium Plus" w:hAnsi="Gentium Plus" w:cs="Gentium Plus"/>
        </w:rPr>
        <w:t>Dioryx</w:t>
      </w:r>
      <w:proofErr w:type="spellEnd"/>
      <w:r>
        <w:rPr>
          <w:rFonts w:ascii="Gentium Plus" w:hAnsi="Gentium Plus" w:cs="Gentium Plus"/>
        </w:rPr>
        <w:t xml:space="preserve"> </w:t>
      </w:r>
      <w:proofErr w:type="spellStart"/>
      <w:r>
        <w:rPr>
          <w:rFonts w:ascii="Gentium Plus" w:hAnsi="Gentium Plus" w:cs="Gentium Plus"/>
        </w:rPr>
        <w:t>Megale</w:t>
      </w:r>
      <w:proofErr w:type="spellEnd"/>
      <w:r>
        <w:rPr>
          <w:rFonts w:ascii="Gentium Plus" w:hAnsi="Gentium Plus" w:cs="Gentium Plus"/>
        </w:rPr>
        <w:t xml:space="preserve">: the Role of the Bahr </w:t>
      </w:r>
      <w:proofErr w:type="spellStart"/>
      <w:r>
        <w:rPr>
          <w:rFonts w:ascii="Gentium Plus" w:hAnsi="Gentium Plus" w:cs="Gentium Plus"/>
        </w:rPr>
        <w:t>Yussef</w:t>
      </w:r>
      <w:proofErr w:type="spellEnd"/>
      <w:r>
        <w:rPr>
          <w:rFonts w:ascii="Gentium Plus" w:hAnsi="Gentium Plus" w:cs="Gentium Plus"/>
        </w:rPr>
        <w:t xml:space="preserve"> in the Nile Flood Cycle and its Implications for the Historical Interpretation of the Ptolemaic State in Middle Egypt”</w:t>
      </w:r>
    </w:p>
    <w:p w14:paraId="57ACF64B" w14:textId="7987BC99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</w:r>
      <w:r>
        <w:rPr>
          <w:rFonts w:ascii="Gentium Plus" w:hAnsi="Gentium Plus" w:cs="Gentium Plus"/>
        </w:rPr>
        <w:tab/>
        <w:t>Joseph Morgan, Yale University</w:t>
      </w:r>
    </w:p>
    <w:p w14:paraId="675B2FD1" w14:textId="3046570B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</w:rPr>
      </w:pPr>
    </w:p>
    <w:p w14:paraId="15860CFA" w14:textId="36C55C85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11:30-11:50 Coffee Break</w:t>
      </w:r>
    </w:p>
    <w:p w14:paraId="4C7B186E" w14:textId="2965240E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</w:p>
    <w:p w14:paraId="2824FCBD" w14:textId="0611C85A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11:50-12:20 Session 2</w:t>
      </w:r>
    </w:p>
    <w:p w14:paraId="69410382" w14:textId="68225A62" w:rsidR="00C94DA5" w:rsidRDefault="00C94DA5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  <w:t xml:space="preserve">“Drowning out the Empire: Rivers and the Flood in </w:t>
      </w:r>
      <w:r w:rsidR="00714481">
        <w:rPr>
          <w:rFonts w:ascii="Gentium Plus" w:hAnsi="Gentium Plus" w:cs="Gentium Plus"/>
        </w:rPr>
        <w:t xml:space="preserve">Book 3 of </w:t>
      </w:r>
      <w:r w:rsidR="00714481">
        <w:rPr>
          <w:rFonts w:ascii="Gentium Plus" w:hAnsi="Gentium Plus" w:cs="Gentium Plus"/>
          <w:i/>
          <w:iCs/>
        </w:rPr>
        <w:t>Natural Questions</w:t>
      </w:r>
      <w:r w:rsidR="00714481">
        <w:rPr>
          <w:rFonts w:ascii="Gentium Plus" w:hAnsi="Gentium Plus" w:cs="Gentium Plus"/>
        </w:rPr>
        <w:t>”</w:t>
      </w:r>
    </w:p>
    <w:p w14:paraId="08F24A94" w14:textId="15FFB525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</w:r>
      <w:r>
        <w:rPr>
          <w:rFonts w:ascii="Gentium Plus" w:hAnsi="Gentium Plus" w:cs="Gentium Plus"/>
        </w:rPr>
        <w:tab/>
        <w:t>Charlotte Hunt, Cornell University</w:t>
      </w:r>
    </w:p>
    <w:p w14:paraId="0DD50E4F" w14:textId="41929336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</w:p>
    <w:p w14:paraId="2F266665" w14:textId="7B25911B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12:20-3:00 Lunch Break</w:t>
      </w:r>
    </w:p>
    <w:p w14:paraId="6B3CA321" w14:textId="104B1F9A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</w:p>
    <w:p w14:paraId="2D081F1A" w14:textId="5570F62D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3:00-4:00 Session 3</w:t>
      </w:r>
    </w:p>
    <w:p w14:paraId="69A102FF" w14:textId="7AA5FFE4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  <w:t xml:space="preserve">“Poseidon </w:t>
      </w:r>
      <w:proofErr w:type="spellStart"/>
      <w:r>
        <w:rPr>
          <w:rFonts w:ascii="Gentium Plus" w:hAnsi="Gentium Plus" w:cs="Gentium Plus"/>
        </w:rPr>
        <w:t>Earthshaker</w:t>
      </w:r>
      <w:proofErr w:type="spellEnd"/>
      <w:r>
        <w:rPr>
          <w:rFonts w:ascii="Gentium Plus" w:hAnsi="Gentium Plus" w:cs="Gentium Plus"/>
        </w:rPr>
        <w:t xml:space="preserve"> as ‘Traditional Environmental Knowledge’ of Earthquake Hazards and Risks in the Greco-Roman World”</w:t>
      </w:r>
    </w:p>
    <w:p w14:paraId="4D56B90D" w14:textId="08DE10D7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</w:r>
      <w:r>
        <w:rPr>
          <w:rFonts w:ascii="Gentium Plus" w:hAnsi="Gentium Plus" w:cs="Gentium Plus"/>
        </w:rPr>
        <w:tab/>
        <w:t xml:space="preserve">Amanda </w:t>
      </w:r>
      <w:proofErr w:type="spellStart"/>
      <w:r>
        <w:rPr>
          <w:rFonts w:ascii="Gentium Plus" w:hAnsi="Gentium Plus" w:cs="Gentium Plus"/>
        </w:rPr>
        <w:t>Gaggioli</w:t>
      </w:r>
      <w:proofErr w:type="spellEnd"/>
      <w:r>
        <w:rPr>
          <w:rFonts w:ascii="Gentium Plus" w:hAnsi="Gentium Plus" w:cs="Gentium Plus"/>
        </w:rPr>
        <w:t>, Stanford University</w:t>
      </w:r>
    </w:p>
    <w:p w14:paraId="4A38BAD5" w14:textId="7D645617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</w:p>
    <w:p w14:paraId="0D47B2F5" w14:textId="04CD9061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  <w:t xml:space="preserve">“Aratus’ </w:t>
      </w:r>
      <w:proofErr w:type="spellStart"/>
      <w:r>
        <w:rPr>
          <w:rFonts w:ascii="Gentium Plus" w:hAnsi="Gentium Plus" w:cs="Gentium Plus"/>
          <w:i/>
          <w:iCs/>
        </w:rPr>
        <w:t>Phaenomena</w:t>
      </w:r>
      <w:proofErr w:type="spellEnd"/>
      <w:r>
        <w:rPr>
          <w:rFonts w:ascii="Gentium Plus" w:hAnsi="Gentium Plus" w:cs="Gentium Plus"/>
        </w:rPr>
        <w:t xml:space="preserve"> as Celestial </w:t>
      </w:r>
      <w:proofErr w:type="spellStart"/>
      <w:r>
        <w:rPr>
          <w:rFonts w:ascii="Gentium Plus" w:hAnsi="Gentium Plus" w:cs="Gentium Plus"/>
        </w:rPr>
        <w:t>Ekphrasis</w:t>
      </w:r>
      <w:proofErr w:type="spellEnd"/>
      <w:r>
        <w:rPr>
          <w:rFonts w:ascii="Gentium Plus" w:hAnsi="Gentium Plus" w:cs="Gentium Plus"/>
        </w:rPr>
        <w:t>”</w:t>
      </w:r>
    </w:p>
    <w:p w14:paraId="5D287A48" w14:textId="2BF39DA6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</w:r>
      <w:r>
        <w:rPr>
          <w:rFonts w:ascii="Gentium Plus" w:hAnsi="Gentium Plus" w:cs="Gentium Plus"/>
        </w:rPr>
        <w:tab/>
        <w:t>Emily Shanahan, Cornell University</w:t>
      </w:r>
    </w:p>
    <w:p w14:paraId="3BF3BE59" w14:textId="10DA3C65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</w:p>
    <w:p w14:paraId="1F4B9CED" w14:textId="1660C8EB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  <w:b/>
          <w:bCs/>
        </w:rPr>
        <w:t>4:00-4:20 Coffee Break</w:t>
      </w:r>
    </w:p>
    <w:p w14:paraId="1A08A43C" w14:textId="3D1550E1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</w:p>
    <w:p w14:paraId="75CCAE76" w14:textId="5BA50FF2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4:20-5:20 Keynote Discussion</w:t>
      </w:r>
    </w:p>
    <w:p w14:paraId="66619300" w14:textId="32CDEA84" w:rsidR="00714481" w:rsidRDefault="00714481" w:rsidP="00C94DA5">
      <w:pPr>
        <w:spacing w:line="240" w:lineRule="auto"/>
        <w:ind w:left="720" w:hanging="72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ab/>
        <w:t>“Academic Work in the Climate Emergency”</w:t>
      </w:r>
    </w:p>
    <w:p w14:paraId="20AA9D47" w14:textId="198658B0" w:rsidR="00714481" w:rsidRDefault="00714481" w:rsidP="00714481">
      <w:pPr>
        <w:spacing w:line="240" w:lineRule="auto"/>
        <w:ind w:left="1440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Clara </w:t>
      </w:r>
      <w:proofErr w:type="spellStart"/>
      <w:r>
        <w:rPr>
          <w:rFonts w:ascii="Gentium Plus" w:hAnsi="Gentium Plus" w:cs="Gentium Plus"/>
        </w:rPr>
        <w:t>Bosak</w:t>
      </w:r>
      <w:proofErr w:type="spellEnd"/>
      <w:r>
        <w:rPr>
          <w:rFonts w:ascii="Gentium Plus" w:hAnsi="Gentium Plus" w:cs="Gentium Plus"/>
        </w:rPr>
        <w:t>-Schroeder, Assistant Professor of Classics, University of Illinois, Urbana-Champaign</w:t>
      </w:r>
    </w:p>
    <w:p w14:paraId="5205256A" w14:textId="52C1A74A" w:rsidR="00714481" w:rsidRDefault="00714481" w:rsidP="00714481">
      <w:pPr>
        <w:spacing w:line="240" w:lineRule="auto"/>
        <w:rPr>
          <w:rFonts w:ascii="Gentium Plus" w:hAnsi="Gentium Plus" w:cs="Gentium Plus"/>
        </w:rPr>
      </w:pPr>
    </w:p>
    <w:p w14:paraId="6A3B99B2" w14:textId="0C6AB8D4" w:rsidR="00714481" w:rsidRPr="00714481" w:rsidRDefault="00714481" w:rsidP="00714481">
      <w:pPr>
        <w:spacing w:line="240" w:lineRule="auto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 xml:space="preserve">Please email Vergil Parson at </w:t>
      </w:r>
      <w:hyperlink r:id="rId5" w:history="1">
        <w:r w:rsidRPr="00C12B45">
          <w:rPr>
            <w:rStyle w:val="Hyperlink"/>
            <w:rFonts w:ascii="Gentium Plus" w:hAnsi="Gentium Plus" w:cs="Gentium Plus"/>
          </w:rPr>
          <w:t>vgp6fe@virginia.edu</w:t>
        </w:r>
      </w:hyperlink>
      <w:r>
        <w:rPr>
          <w:rFonts w:ascii="Gentium Plus" w:hAnsi="Gentium Plus" w:cs="Gentium Plus"/>
        </w:rPr>
        <w:t xml:space="preserve"> to read the pre-circulated papers.</w:t>
      </w:r>
    </w:p>
    <w:sectPr w:rsidR="00714481" w:rsidRPr="00714481" w:rsidSect="00714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Plus">
    <w:altName w:val="Cambria Math"/>
    <w:charset w:val="00"/>
    <w:family w:val="auto"/>
    <w:pitch w:val="variable"/>
    <w:sig w:usb0="00000001" w:usb1="5200E1FB" w:usb2="02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7"/>
    <w:rsid w:val="001F0267"/>
    <w:rsid w:val="004A1BF7"/>
    <w:rsid w:val="00540722"/>
    <w:rsid w:val="006C2181"/>
    <w:rsid w:val="00714481"/>
    <w:rsid w:val="00C94DA5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7A56"/>
  <w15:chartTrackingRefBased/>
  <w15:docId w15:val="{A4AF73F5-F270-44E9-A4F6-EC1CE503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p6fe@virginia.edu" TargetMode="External"/><Relationship Id="rId4" Type="http://schemas.openxmlformats.org/officeDocument/2006/relationships/hyperlink" Target="http://classics.as.virginia.edu/acces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 Parson</dc:creator>
  <cp:keywords/>
  <dc:description/>
  <cp:lastModifiedBy>Rojas, Shelly (mrm8e)</cp:lastModifiedBy>
  <cp:revision>2</cp:revision>
  <dcterms:created xsi:type="dcterms:W3CDTF">2020-03-20T17:59:00Z</dcterms:created>
  <dcterms:modified xsi:type="dcterms:W3CDTF">2020-03-20T17:59:00Z</dcterms:modified>
</cp:coreProperties>
</file>